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240"/>
        <w:jc w:val="center"/>
      </w:pPr>
      <w:r>
        <w:drawing>
          <wp:inline xmlns:a="http://schemas.openxmlformats.org/drawingml/2006/main" xmlns:pic="http://schemas.openxmlformats.org/drawingml/2006/picture">
            <wp:extent cx="1325880" cy="1752371"/>
            <wp:docPr id="1" name="Picture 1" title="Micon Constructions logo" descr="Micon Constructions brand mark"/>
            <wp:cNvGraphicFramePr>
              <a:graphicFrameLocks noChangeAspect="1"/>
            </wp:cNvGraphicFramePr>
            <a:graphic>
              <a:graphicData uri="http://schemas.openxmlformats.org/drawingml/2006/picture">
                <pic:pic>
                  <pic:nvPicPr>
                    <pic:cNvPr id="0" name="micon-logo.png"/>
                    <pic:cNvPicPr/>
                  </pic:nvPicPr>
                  <pic:blipFill>
                    <a:blip r:embed="rId11"/>
                    <a:stretch>
                      <a:fillRect/>
                    </a:stretch>
                  </pic:blipFill>
                  <pic:spPr>
                    <a:xfrm>
                      <a:off x="0" y="0"/>
                      <a:ext cx="1325880" cy="1752371"/>
                    </a:xfrm>
                    <a:prstGeom prst="rect"/>
                  </pic:spPr>
                </pic:pic>
              </a:graphicData>
            </a:graphic>
          </wp:inline>
        </w:drawing>
      </w:r>
    </w:p>
    <w:p>
      <w:pPr>
        <w:spacing w:after="100"/>
        <w:jc w:val="center"/>
      </w:pPr>
      <w:r>
        <w:rPr>
          <w:rFonts w:ascii="Arial" w:hAnsi="Arial"/>
          <w:b/>
          <w:color w:val="59616A"/>
          <w:sz w:val="24"/>
        </w:rPr>
        <w:t>MICON CONSTRUCTIONS</w:t>
      </w:r>
    </w:p>
    <w:p>
      <w:pPr>
        <w:spacing w:after="160"/>
        <w:jc w:val="center"/>
      </w:pPr>
      <w:r>
        <w:rPr>
          <w:rFonts w:ascii="Georgia" w:hAnsi="Georgia"/>
          <w:b w:val="0"/>
          <w:color w:val="171B20"/>
          <w:sz w:val="52"/>
        </w:rPr>
        <w:t>COST / PRICE PROPOSAL NARRATIVE</w:t>
      </w:r>
    </w:p>
    <w:p>
      <w:pPr>
        <w:spacing w:after="80"/>
        <w:jc w:val="center"/>
      </w:pPr>
      <w:r>
        <w:rPr>
          <w:rFonts w:ascii="Arial" w:hAnsi="Arial"/>
          <w:b/>
          <w:color w:val="CA8F0D"/>
          <w:sz w:val="28"/>
        </w:rPr>
        <w:t>Volume 6 - Part 2</w:t>
      </w:r>
    </w:p>
    <w:p>
      <w:pPr>
        <w:spacing w:after="360"/>
        <w:jc w:val="center"/>
      </w:pPr>
      <w:r>
        <w:rPr>
          <w:rFonts w:ascii="Georgia" w:hAnsi="Georgia"/>
          <w:color w:val="59616A"/>
          <w:sz w:val="28"/>
        </w:rPr>
        <w:t>Canon ProStream Press Installation Design-Build</w:t>
      </w:r>
    </w:p>
    <w:tbl>
      <w:tblPr>
        <w:tblW w:type="dxa" w:w="9360"/>
        <w:tblLayout w:type="fixed"/>
        <w:tblLook w:firstColumn="1" w:firstRow="1" w:lastColumn="0" w:lastRow="0" w:noHBand="0" w:noVBand="1" w:val="04A0"/>
        <w:tblInd w:w="120" w:type="dxa"/>
      </w:tblPr>
      <w:tblGrid>
        <w:gridCol w:w="2340"/>
        <w:gridCol w:w="7020"/>
      </w:tblGrid>
      <w:tr>
        <w:trPr>
          <w:cantSplit/>
        </w:trPr>
        <w:tc>
          <w:tcPr>
            <w:tcW w:type="dxa" w:w="2340"/>
            <w:tcMar>
              <w:top w:w="80" w:type="dxa"/>
              <w:start w:w="120" w:type="dxa"/>
              <w:bottom w:w="80" w:type="dxa"/>
              <w:end w:w="120" w:type="dxa"/>
            </w:tcMar>
            <w:vAlign w:val="center"/>
            <w:shd w:fill="242A31" w:val="clear"/>
          </w:tcPr>
          <w:p>
            <w:pPr>
              <w:spacing w:after="0"/>
            </w:pPr>
            <w:r>
              <w:rPr>
                <w:rFonts w:ascii="Calibri" w:hAnsi="Calibri"/>
                <w:b/>
                <w:color w:val="FFFFFF"/>
                <w:sz w:val="17"/>
              </w:rPr>
              <w:t>SOLICITATION</w:t>
            </w:r>
          </w:p>
        </w:tc>
        <w:tc>
          <w:tcPr>
            <w:tcW w:type="dxa" w:w="7020"/>
            <w:tcMar>
              <w:top w:w="80" w:type="dxa"/>
              <w:start w:w="120" w:type="dxa"/>
              <w:bottom w:w="80" w:type="dxa"/>
              <w:end w:w="120" w:type="dxa"/>
            </w:tcMar>
            <w:vAlign w:val="center"/>
            <w:shd w:fill="F3F0E9" w:val="clear"/>
          </w:tcPr>
          <w:p>
            <w:pPr>
              <w:spacing w:after="0"/>
            </w:pPr>
            <w:r>
              <w:rPr>
                <w:rFonts w:ascii="Calibri" w:hAnsi="Calibri"/>
                <w:color w:val="171B20"/>
                <w:sz w:val="21"/>
              </w:rPr>
              <w:t>040ADV-26-R-0029</w:t>
            </w:r>
          </w:p>
        </w:tc>
      </w:tr>
      <w:tr>
        <w:trPr>
          <w:cantSplit/>
        </w:trPr>
        <w:tc>
          <w:tcPr>
            <w:tcW w:type="dxa" w:w="2340"/>
            <w:tcMar>
              <w:top w:w="80" w:type="dxa"/>
              <w:start w:w="120" w:type="dxa"/>
              <w:bottom w:w="80" w:type="dxa"/>
              <w:end w:w="120" w:type="dxa"/>
            </w:tcMar>
            <w:vAlign w:val="center"/>
            <w:shd w:fill="242A31" w:val="clear"/>
          </w:tcPr>
          <w:p>
            <w:pPr>
              <w:spacing w:after="0"/>
            </w:pPr>
            <w:r>
              <w:rPr>
                <w:rFonts w:ascii="Calibri" w:hAnsi="Calibri"/>
                <w:b/>
                <w:color w:val="FFFFFF"/>
                <w:sz w:val="17"/>
              </w:rPr>
              <w:t>CONTRACT TYPE</w:t>
            </w:r>
          </w:p>
        </w:tc>
        <w:tc>
          <w:tcPr>
            <w:tcW w:type="dxa" w:w="7020"/>
            <w:tcMar>
              <w:top w:w="80" w:type="dxa"/>
              <w:start w:w="120" w:type="dxa"/>
              <w:bottom w:w="80" w:type="dxa"/>
              <w:end w:w="120" w:type="dxa"/>
            </w:tcMar>
            <w:vAlign w:val="center"/>
            <w:shd w:fill="F3F0E9" w:val="clear"/>
          </w:tcPr>
          <w:p>
            <w:pPr>
              <w:spacing w:after="0"/>
            </w:pPr>
            <w:r>
              <w:rPr>
                <w:rFonts w:ascii="Calibri" w:hAnsi="Calibri"/>
                <w:color w:val="171B20"/>
                <w:sz w:val="21"/>
              </w:rPr>
              <w:t>Firm-fixed-price | 180 calendar days</w:t>
            </w:r>
          </w:p>
        </w:tc>
      </w:tr>
      <w:tr>
        <w:trPr>
          <w:cantSplit/>
        </w:trPr>
        <w:tc>
          <w:tcPr>
            <w:tcW w:type="dxa" w:w="2340"/>
            <w:tcMar>
              <w:top w:w="80" w:type="dxa"/>
              <w:start w:w="120" w:type="dxa"/>
              <w:bottom w:w="80" w:type="dxa"/>
              <w:end w:w="120" w:type="dxa"/>
            </w:tcMar>
            <w:vAlign w:val="center"/>
            <w:shd w:fill="242A31" w:val="clear"/>
          </w:tcPr>
          <w:p>
            <w:pPr>
              <w:spacing w:after="0"/>
            </w:pPr>
            <w:r>
              <w:rPr>
                <w:rFonts w:ascii="Calibri" w:hAnsi="Calibri"/>
                <w:b/>
                <w:color w:val="FFFFFF"/>
                <w:sz w:val="17"/>
              </w:rPr>
              <w:t>PROPOSAL DUE</w:t>
            </w:r>
          </w:p>
        </w:tc>
        <w:tc>
          <w:tcPr>
            <w:tcW w:type="dxa" w:w="7020"/>
            <w:tcMar>
              <w:top w:w="80" w:type="dxa"/>
              <w:start w:w="120" w:type="dxa"/>
              <w:bottom w:w="80" w:type="dxa"/>
              <w:end w:w="120" w:type="dxa"/>
            </w:tcMar>
            <w:vAlign w:val="center"/>
            <w:shd w:fill="F3F0E9" w:val="clear"/>
          </w:tcPr>
          <w:p>
            <w:pPr>
              <w:spacing w:after="0"/>
            </w:pPr>
            <w:r>
              <w:rPr>
                <w:rFonts w:ascii="Calibri" w:hAnsi="Calibri"/>
                <w:color w:val="171B20"/>
                <w:sz w:val="21"/>
              </w:rPr>
              <w:t>August 25, 2026 | 5:00 PM EDT</w:t>
            </w:r>
          </w:p>
        </w:tc>
      </w:tr>
      <w:tr>
        <w:trPr>
          <w:cantSplit/>
        </w:trPr>
        <w:tc>
          <w:tcPr>
            <w:tcW w:type="dxa" w:w="2340"/>
            <w:tcMar>
              <w:top w:w="80" w:type="dxa"/>
              <w:start w:w="120" w:type="dxa"/>
              <w:bottom w:w="80" w:type="dxa"/>
              <w:end w:w="120" w:type="dxa"/>
            </w:tcMar>
            <w:vAlign w:val="center"/>
            <w:shd w:fill="242A31" w:val="clear"/>
          </w:tcPr>
          <w:p>
            <w:pPr>
              <w:spacing w:after="0"/>
            </w:pPr>
            <w:r>
              <w:rPr>
                <w:rFonts w:ascii="Calibri" w:hAnsi="Calibri"/>
                <w:b/>
                <w:color w:val="FFFFFF"/>
                <w:sz w:val="17"/>
              </w:rPr>
              <w:t>PREPARED BY</w:t>
            </w:r>
          </w:p>
        </w:tc>
        <w:tc>
          <w:tcPr>
            <w:tcW w:type="dxa" w:w="7020"/>
            <w:tcMar>
              <w:top w:w="80" w:type="dxa"/>
              <w:start w:w="120" w:type="dxa"/>
              <w:bottom w:w="80" w:type="dxa"/>
              <w:end w:w="120" w:type="dxa"/>
            </w:tcMar>
            <w:vAlign w:val="center"/>
            <w:shd w:fill="F3F0E9" w:val="clear"/>
          </w:tcPr>
          <w:p>
            <w:pPr>
              <w:spacing w:after="0"/>
            </w:pPr>
            <w:r>
              <w:rPr>
                <w:rFonts w:ascii="Calibri" w:hAnsi="Calibri"/>
                <w:color w:val="171B20"/>
                <w:sz w:val="21"/>
              </w:rPr>
              <w:t>Micon Constructions</w:t>
            </w:r>
          </w:p>
        </w:tc>
      </w:tr>
    </w:tbl>
    <w:p/>
    <w:tbl>
      <w:tblPr>
        <w:tblW w:type="dxa" w:w="9360"/>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CE8E7" w:val="clear"/>
            <w:tcBorders>
              <w:left w:val="single" w:sz="24" w:color="CF3430"/>
            </w:tcBorders>
          </w:tcPr>
          <w:p>
            <w:pPr>
              <w:spacing w:after="60" w:line="276" w:lineRule="auto"/>
            </w:pPr>
            <w:r>
              <w:rPr>
                <w:rFonts w:ascii="Calibri" w:hAnsi="Calibri"/>
                <w:b/>
                <w:color w:val="CF3430"/>
                <w:sz w:val="18"/>
              </w:rPr>
              <w:t>REVIEW DRAFT</w:t>
            </w:r>
          </w:p>
          <w:p>
            <w:pPr>
              <w:spacing w:after="0" w:line="288" w:lineRule="auto"/>
            </w:pPr>
            <w:r>
              <w:rPr>
                <w:rFonts w:ascii="Calibri" w:hAnsi="Calibri"/>
                <w:color w:val="171B20"/>
                <w:sz w:val="21"/>
              </w:rPr>
              <w:t>Micon pricing data is not yet populated. This narrative is a compliant, branded completion framework and must mirror the final Attachment J-7 workbook exactly before submission.</w:t>
            </w:r>
          </w:p>
        </w:tc>
      </w:tr>
    </w:tbl>
    <w:p>
      <w:pPr>
        <w:spacing w:after="0" w:line="24" w:lineRule="auto"/>
      </w:pPr>
    </w:p>
    <w:p>
      <w:pPr>
        <w:spacing w:before="360" w:after="0"/>
        <w:jc w:val="center"/>
      </w:pPr>
      <w:r>
        <w:rPr>
          <w:rFonts w:ascii="Calibri" w:hAnsi="Calibri"/>
          <w:b/>
          <w:color w:val="59616A"/>
          <w:sz w:val="17"/>
        </w:rPr>
        <w:t>CONFIDENTIAL PROPOSAL WORK PRODUCT</w:t>
      </w:r>
    </w:p>
    <w:p>
      <w:r>
        <w:br w:type="page"/>
      </w:r>
    </w:p>
    <w:p>
      <w:pPr>
        <w:pStyle w:val="Heading1"/>
        <w:pageBreakBefore w:val="0"/>
        <w:pBdr>
          <w:bottom w:val="single" w:sz="14" w:space="4" w:color="F4B621"/>
        </w:pBdr>
      </w:pPr>
      <w:r>
        <w:t>1. Executive Price Basis</w:t>
      </w:r>
    </w:p>
    <w:p>
      <w:pPr>
        <w:keepNext w:val="0"/>
      </w:pPr>
      <w:r>
        <w:rPr>
          <w:rFonts w:ascii="Calibri" w:hAnsi="Calibri"/>
        </w:rPr>
        <w:t>Micon will propose one firm-fixed price for the complete design-build effort, allocated across the three solicitation CLINs. The final price must cover the labor, materials, equipment, subcontractor work, supervision, quality control, insurance, bonds, indirect costs, fee, and closeout obligations necessary to execute the technical approach.</w:t>
      </w:r>
    </w:p>
    <w:tbl>
      <w:tblPr>
        <w:tblW w:type="dxa" w:w="9360"/>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FF1C6" w:val="clear"/>
            <w:tcBorders>
              <w:left w:val="single" w:sz="24" w:color="CA8F0D"/>
            </w:tcBorders>
          </w:tcPr>
          <w:p>
            <w:pPr>
              <w:spacing w:after="60" w:line="276" w:lineRule="auto"/>
            </w:pPr>
            <w:r>
              <w:rPr>
                <w:rFonts w:ascii="Calibri" w:hAnsi="Calibri"/>
                <w:b/>
                <w:color w:val="171B20"/>
                <w:sz w:val="18"/>
              </w:rPr>
              <w:t>SUBMISSION CONTROL</w:t>
            </w:r>
          </w:p>
          <w:p>
            <w:pPr>
              <w:spacing w:after="0" w:line="288" w:lineRule="auto"/>
            </w:pPr>
            <w:r>
              <w:rPr>
                <w:rFonts w:ascii="Calibri" w:hAnsi="Calibri"/>
                <w:color w:val="171B20"/>
                <w:sz w:val="21"/>
              </w:rPr>
              <w:t>All amounts are stated in U.S. dollars. Extended amounts in Attachment J-7 use visible Excel formulas and ROUND to the nearest penny. The workbook is macro-free, unprotected, and contains no external file links.</w:t>
            </w:r>
          </w:p>
        </w:tc>
      </w:tr>
    </w:tbl>
    <w:p>
      <w:pPr>
        <w:spacing w:after="0" w:line="24" w:lineRule="auto"/>
      </w:pPr>
    </w:p>
    <w:tbl>
      <w:tblPr>
        <w:tblW w:type="dxa" w:w="9360"/>
        <w:tblLayout w:type="fixed"/>
        <w:tblLook w:firstColumn="1" w:firstRow="1" w:lastColumn="0" w:lastRow="0" w:noHBand="0" w:noVBand="1" w:val="04A0"/>
        <w:tblInd w:w="120" w:type="dxa"/>
      </w:tblPr>
      <w:tblGrid>
        <w:gridCol w:w="1200"/>
        <w:gridCol w:w="3540"/>
        <w:gridCol w:w="4620"/>
      </w:tblGrid>
      <w:tr>
        <w:trPr>
          <w:cantSplit/>
          <w:tblHeader w:val="true"/>
        </w:trPr>
        <w:tc>
          <w:tcPr>
            <w:tcW w:type="dxa" w:w="12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CLIN</w:t>
            </w:r>
          </w:p>
        </w:tc>
        <w:tc>
          <w:tcPr>
            <w:tcW w:type="dxa" w:w="354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Required scope</w:t>
            </w:r>
          </w:p>
        </w:tc>
        <w:tc>
          <w:tcPr>
            <w:tcW w:type="dxa" w:w="462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Pricing narrative focus</w:t>
            </w:r>
          </w:p>
        </w:tc>
      </w:tr>
      <w:tr>
        <w:trPr>
          <w:cantSplit/>
        </w:trPr>
        <w:tc>
          <w:tcPr>
            <w:tcW w:type="dxa" w:w="12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0001</w:t>
            </w:r>
          </w:p>
        </w:tc>
        <w:tc>
          <w:tcPr>
            <w:tcW w:type="dxa" w:w="35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Site assessment, design and design documents</w:t>
            </w:r>
          </w:p>
        </w:tc>
        <w:tc>
          <w:tcPr>
            <w:tcW w:type="dxa" w:w="462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Design labor, specialty engineering, survey/investigation, design QA/QC and design-phase ODCs.</w:t>
            </w:r>
          </w:p>
        </w:tc>
      </w:tr>
      <w:tr>
        <w:trPr>
          <w:cantSplit/>
        </w:trPr>
        <w:tc>
          <w:tcPr>
            <w:tcW w:type="dxa" w:w="12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0002</w:t>
            </w:r>
          </w:p>
        </w:tc>
        <w:tc>
          <w:tcPr>
            <w:tcW w:type="dxa" w:w="35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Construction phase</w:t>
            </w:r>
          </w:p>
        </w:tc>
        <w:tc>
          <w:tcPr>
            <w:tcW w:type="dxa" w:w="462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Mobilization, general conditions, field labor, materials/equipment, trade partners, insurance, bonds, permits, rigging and construction QA/QC.</w:t>
            </w:r>
          </w:p>
        </w:tc>
      </w:tr>
      <w:tr>
        <w:trPr>
          <w:cantSplit/>
        </w:trPr>
        <w:tc>
          <w:tcPr>
            <w:tcW w:type="dxa" w:w="12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0003</w:t>
            </w:r>
          </w:p>
        </w:tc>
        <w:tc>
          <w:tcPr>
            <w:tcW w:type="dxa" w:w="35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Post-construction quality validation and closeout</w:t>
            </w:r>
          </w:p>
        </w:tc>
        <w:tc>
          <w:tcPr>
            <w:tcW w:type="dxa" w:w="462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Testing, commissioning, training, as-builts, O&amp;M data, punch list, turnover and warranty support.</w:t>
            </w:r>
          </w:p>
        </w:tc>
      </w:tr>
    </w:tbl>
    <w:p>
      <w:pPr>
        <w:spacing w:after="0" w:line="48" w:lineRule="auto"/>
      </w:pPr>
    </w:p>
    <w:p>
      <w:pPr>
        <w:pStyle w:val="Heading2"/>
        <w:pageBreakBefore w:val="0"/>
      </w:pPr>
      <w:r>
        <w:t>1.1 Pricing objectives</w:t>
      </w:r>
    </w:p>
    <w:p>
      <w:pPr>
        <w:keepNext w:val="0"/>
      </w:pPr>
      <w:r>
        <w:rPr>
          <w:rFonts w:ascii="Calibri" w:hAnsi="Calibri"/>
          <w:b/>
        </w:rPr>
        <w:t>Reasonableness.</w:t>
      </w:r>
      <w:r>
        <w:rPr>
          <w:rFonts w:ascii="Calibri" w:hAnsi="Calibri"/>
        </w:rPr>
        <w:t xml:space="preserve"> Micon will demonstrate that the proposed price is supported by current source data and falls within a defensible range when compared with normalized, relevant project benchmarks.</w:t>
      </w:r>
    </w:p>
    <w:p>
      <w:pPr>
        <w:keepNext w:val="0"/>
      </w:pPr>
      <w:r>
        <w:rPr>
          <w:rFonts w:ascii="Calibri" w:hAnsi="Calibri"/>
          <w:b/>
        </w:rPr>
        <w:t>Balance.</w:t>
      </w:r>
      <w:r>
        <w:rPr>
          <w:rFonts w:ascii="Calibri" w:hAnsi="Calibri"/>
        </w:rPr>
        <w:t xml:space="preserve"> The three CLINs will reflect the actual work and risk assigned to each phase; no CLIN will be materially front-loaded, understated, or used to shift costs away from the work that generates them.</w:t>
      </w:r>
    </w:p>
    <w:p>
      <w:pPr>
        <w:keepNext w:val="0"/>
      </w:pPr>
      <w:r>
        <w:rPr>
          <w:rFonts w:ascii="Calibri" w:hAnsi="Calibri"/>
          <w:b/>
        </w:rPr>
        <w:t>Realism.</w:t>
      </w:r>
      <w:r>
        <w:rPr>
          <w:rFonts w:ascii="Calibri" w:hAnsi="Calibri"/>
        </w:rPr>
        <w:t xml:space="preserve"> The price will be tested against the staffing, quantities, equipment, subcontracting plan, phasing constraints, occupied-facility protections, specialty process-cooling work, and 180-day schedule described in the technical proposal.</w:t>
      </w:r>
    </w:p>
    <w:p>
      <w:pPr>
        <w:pStyle w:val="Heading2"/>
        <w:pageBreakBefore w:val="0"/>
      </w:pPr>
      <w:r>
        <w:t>1.2 Current readiness</w:t>
      </w:r>
    </w:p>
    <w:tbl>
      <w:tblPr>
        <w:tblW w:type="dxa" w:w="9360"/>
        <w:tblLayout w:type="fixed"/>
        <w:tblLook w:firstColumn="1" w:firstRow="1" w:lastColumn="0" w:lastRow="0" w:noHBand="0" w:noVBand="1" w:val="04A0"/>
        <w:tblInd w:w="120" w:type="dxa"/>
      </w:tblPr>
      <w:tblGrid>
        <w:gridCol w:w="2340"/>
        <w:gridCol w:w="2340"/>
        <w:gridCol w:w="4680"/>
      </w:tblGrid>
      <w:tr>
        <w:trPr>
          <w:cantSplit/>
          <w:tblHeader w:val="true"/>
        </w:trPr>
        <w:tc>
          <w:tcPr>
            <w:tcW w:type="dxa" w:w="234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Control</w:t>
            </w:r>
          </w:p>
        </w:tc>
        <w:tc>
          <w:tcPr>
            <w:tcW w:type="dxa" w:w="234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Current status</w:t>
            </w:r>
          </w:p>
        </w:tc>
        <w:tc>
          <w:tcPr>
            <w:tcW w:type="dxa" w:w="46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Required before submission</w:t>
            </w:r>
          </w:p>
        </w:tc>
      </w:tr>
      <w:tr>
        <w:trPr>
          <w:cantSplit/>
        </w:trPr>
        <w:tc>
          <w:tcPr>
            <w:tcW w:type="dxa" w:w="234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Bottom-up estimate</w:t>
            </w:r>
          </w:p>
        </w:tc>
        <w:tc>
          <w:tcPr>
            <w:tcW w:type="dxa" w:w="23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c>
          <w:tcPr>
            <w:tcW w:type="dxa" w:w="46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Populate quantities, rates, quotes, indirects and fee.</w:t>
            </w:r>
          </w:p>
        </w:tc>
      </w:tr>
      <w:tr>
        <w:trPr>
          <w:cantSplit/>
        </w:trPr>
        <w:tc>
          <w:tcPr>
            <w:tcW w:type="dxa" w:w="234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Comparable pricing</w:t>
            </w:r>
          </w:p>
        </w:tc>
        <w:tc>
          <w:tcPr>
            <w:tcW w:type="dxa" w:w="23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c>
          <w:tcPr>
            <w:tcW w:type="dxa" w:w="46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Document at least three traceable, normalized comparables.</w:t>
            </w:r>
          </w:p>
        </w:tc>
      </w:tr>
      <w:tr>
        <w:trPr>
          <w:cantSplit/>
        </w:trPr>
        <w:tc>
          <w:tcPr>
            <w:tcW w:type="dxa" w:w="234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Subcontractor support</w:t>
            </w:r>
          </w:p>
        </w:tc>
        <w:tc>
          <w:tcPr>
            <w:tcW w:type="dxa" w:w="23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PENDING TEAM CONFIRMATION</w:t>
            </w:r>
          </w:p>
        </w:tc>
        <w:tc>
          <w:tcPr>
            <w:tcW w:type="dxa" w:w="46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Add one workbook tab and narrative subsection per confirmed subcontractor.</w:t>
            </w:r>
          </w:p>
        </w:tc>
      </w:tr>
      <w:tr>
        <w:trPr>
          <w:cantSplit/>
        </w:trPr>
        <w:tc>
          <w:tcPr>
            <w:tcW w:type="dxa" w:w="234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Final approval</w:t>
            </w:r>
          </w:p>
        </w:tc>
        <w:tc>
          <w:tcPr>
            <w:tcW w:type="dxa" w:w="23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NOT APPROVED</w:t>
            </w:r>
          </w:p>
        </w:tc>
        <w:tc>
          <w:tcPr>
            <w:tcW w:type="dxa" w:w="46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Estimator, finance and executive sign-off.</w:t>
            </w:r>
          </w:p>
        </w:tc>
      </w:tr>
    </w:tbl>
    <w:p>
      <w:pPr>
        <w:spacing w:after="0" w:line="48" w:lineRule="auto"/>
      </w:pPr>
    </w:p>
    <w:p>
      <w:pPr>
        <w:pStyle w:val="Heading1"/>
        <w:pageBreakBefore/>
        <w:pBdr>
          <w:bottom w:val="single" w:sz="14" w:space="4" w:color="F4B621"/>
        </w:pBdr>
      </w:pPr>
      <w:r>
        <w:t>2. Method 1 - Bottom-Up Cost Buildup</w:t>
      </w:r>
    </w:p>
    <w:p>
      <w:pPr>
        <w:keepNext w:val="0"/>
      </w:pPr>
      <w:r>
        <w:rPr>
          <w:rFonts w:ascii="Calibri" w:hAnsi="Calibri"/>
        </w:rPr>
        <w:t>The primary pricing method develops each CLIN from auditable quantities and source-supported unit costs. Each line in the Cost Buildup tab identifies the responsible CLIN, cost element, resource or item, basis/source, quantity, unit, unit cost, indirect treatment, fee, extended price, and Micon estimating note.</w:t>
      </w:r>
    </w:p>
    <w:tbl>
      <w:tblPr>
        <w:tblW w:type="dxa" w:w="9360"/>
        <w:tblLayout w:type="fixed"/>
        <w:tblLook w:firstColumn="1" w:firstRow="1" w:lastColumn="0" w:lastRow="0" w:noHBand="0" w:noVBand="1" w:val="04A0"/>
        <w:tblInd w:w="120" w:type="dxa"/>
      </w:tblPr>
      <w:tblGrid>
        <w:gridCol w:w="1800"/>
        <w:gridCol w:w="3000"/>
        <w:gridCol w:w="4560"/>
      </w:tblGrid>
      <w:tr>
        <w:trPr>
          <w:cantSplit/>
          <w:tblHeader w:val="true"/>
        </w:trPr>
        <w:tc>
          <w:tcPr>
            <w:tcW w:type="dxa" w:w="18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Calculation</w:t>
            </w:r>
          </w:p>
        </w:tc>
        <w:tc>
          <w:tcPr>
            <w:tcW w:type="dxa" w:w="30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Workbook formula</w:t>
            </w:r>
          </w:p>
        </w:tc>
        <w:tc>
          <w:tcPr>
            <w:tcW w:type="dxa" w:w="45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Narrative requirement</w:t>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Direct cost</w:t>
            </w:r>
          </w:p>
        </w:tc>
        <w:tc>
          <w:tcPr>
            <w:tcW w:type="dxa" w:w="30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Quantity x unit cost</w:t>
            </w:r>
          </w:p>
        </w:tc>
        <w:tc>
          <w:tcPr>
            <w:tcW w:type="dxa" w:w="4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Explain why the quantity and unit price are realistic and identify the source.</w:t>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Overhead</w:t>
            </w:r>
          </w:p>
        </w:tc>
        <w:tc>
          <w:tcPr>
            <w:tcW w:type="dxa" w:w="30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Direct cost x OH rate</w:t>
            </w:r>
          </w:p>
        </w:tc>
        <w:tc>
          <w:tcPr>
            <w:tcW w:type="dxa" w:w="4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Identify the approved rate, base and effective period.</w:t>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G&amp;A</w:t>
            </w:r>
          </w:p>
        </w:tc>
        <w:tc>
          <w:tcPr>
            <w:tcW w:type="dxa" w:w="30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(Direct cost + OH) x G&amp;A rate</w:t>
            </w:r>
          </w:p>
        </w:tc>
        <w:tc>
          <w:tcPr>
            <w:tcW w:type="dxa" w:w="4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Identify the approved rate, base and effective period.</w:t>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Fee</w:t>
            </w:r>
          </w:p>
        </w:tc>
        <w:tc>
          <w:tcPr>
            <w:tcW w:type="dxa" w:w="30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(Direct cost + OH + G&amp;A) x fee rate</w:t>
            </w:r>
          </w:p>
        </w:tc>
        <w:tc>
          <w:tcPr>
            <w:tcW w:type="dxa" w:w="4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Explain the fee judgment in relation to risk, investment and FFP responsibility.</w:t>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Extended price</w:t>
            </w:r>
          </w:p>
        </w:tc>
        <w:tc>
          <w:tcPr>
            <w:tcW w:type="dxa" w:w="30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Direct cost + OH + G&amp;A + fee</w:t>
            </w:r>
          </w:p>
        </w:tc>
        <w:tc>
          <w:tcPr>
            <w:tcW w:type="dxa" w:w="4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Tie exactly to the Section B Prime CLIN and the J-7 summary.</w:t>
            </w:r>
          </w:p>
        </w:tc>
      </w:tr>
    </w:tbl>
    <w:p>
      <w:pPr>
        <w:spacing w:after="0" w:line="48" w:lineRule="auto"/>
      </w:pPr>
    </w:p>
    <w:p>
      <w:pPr>
        <w:pStyle w:val="Heading2"/>
        <w:pageBreakBefore w:val="0"/>
      </w:pPr>
      <w:r>
        <w:t>2.1 Acceptable source hierarchy</w:t>
      </w:r>
    </w:p>
    <w:tbl>
      <w:tblPr>
        <w:tblW w:type="dxa" w:w="9360"/>
        <w:tblLayout w:type="fixed"/>
        <w:tblLook w:firstColumn="1" w:firstRow="1" w:lastColumn="0" w:lastRow="0" w:noHBand="0" w:noVBand="1" w:val="04A0"/>
        <w:tblInd w:w="120" w:type="dxa"/>
      </w:tblPr>
      <w:tblGrid>
        <w:gridCol w:w="1080"/>
        <w:gridCol w:w="3300"/>
        <w:gridCol w:w="4980"/>
      </w:tblGrid>
      <w:tr>
        <w:trPr>
          <w:cantSplit/>
          <w:tblHeader w:val="true"/>
        </w:trPr>
        <w:tc>
          <w:tcPr>
            <w:tcW w:type="dxa" w:w="10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Priority</w:t>
            </w:r>
          </w:p>
        </w:tc>
        <w:tc>
          <w:tcPr>
            <w:tcW w:type="dxa" w:w="33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Cost source</w:t>
            </w:r>
          </w:p>
        </w:tc>
        <w:tc>
          <w:tcPr>
            <w:tcW w:type="dxa" w:w="49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Use in final narrative</w:t>
            </w:r>
          </w:p>
        </w:tc>
      </w:tr>
      <w:tr>
        <w:trPr>
          <w:cantSplit/>
        </w:trPr>
        <w:tc>
          <w:tcPr>
            <w:tcW w:type="dxa" w:w="10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1</w:t>
            </w:r>
          </w:p>
        </w:tc>
        <w:tc>
          <w:tcPr>
            <w:tcW w:type="dxa" w:w="3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Current executed subcontractor or supplier quote</w:t>
            </w:r>
          </w:p>
        </w:tc>
        <w:tc>
          <w:tcPr>
            <w:tcW w:type="dxa" w:w="49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Name the source, quote date, validity period, scope inclusions and exclusions.</w:t>
            </w:r>
          </w:p>
        </w:tc>
      </w:tr>
      <w:tr>
        <w:trPr>
          <w:cantSplit/>
        </w:trPr>
        <w:tc>
          <w:tcPr>
            <w:tcW w:type="dxa" w:w="10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2</w:t>
            </w:r>
          </w:p>
        </w:tc>
        <w:tc>
          <w:tcPr>
            <w:tcW w:type="dxa" w:w="3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Current payroll, approved labor rate or audited accounting record</w:t>
            </w:r>
          </w:p>
        </w:tc>
        <w:tc>
          <w:tcPr>
            <w:tcW w:type="dxa" w:w="49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Explain labor category, rate basis, burden treatment and escalation.</w:t>
            </w:r>
          </w:p>
        </w:tc>
      </w:tr>
      <w:tr>
        <w:trPr>
          <w:cantSplit/>
        </w:trPr>
        <w:tc>
          <w:tcPr>
            <w:tcW w:type="dxa" w:w="10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3</w:t>
            </w:r>
          </w:p>
        </w:tc>
        <w:tc>
          <w:tcPr>
            <w:tcW w:type="dxa" w:w="3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Recent historical actual from a comparable Micon project</w:t>
            </w:r>
          </w:p>
        </w:tc>
        <w:tc>
          <w:tcPr>
            <w:tcW w:type="dxa" w:w="49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Identify the project, date, actual quantity/cost and adjustment to current conditions.</w:t>
            </w:r>
          </w:p>
        </w:tc>
      </w:tr>
      <w:tr>
        <w:trPr>
          <w:cantSplit/>
        </w:trPr>
        <w:tc>
          <w:tcPr>
            <w:tcW w:type="dxa" w:w="10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4</w:t>
            </w:r>
          </w:p>
        </w:tc>
        <w:tc>
          <w:tcPr>
            <w:tcW w:type="dxa" w:w="3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Published catalog, index or other public source</w:t>
            </w:r>
          </w:p>
        </w:tc>
        <w:tc>
          <w:tcPr>
            <w:tcW w:type="dxa" w:w="49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Cite the publication/date and explain applicability.</w:t>
            </w:r>
          </w:p>
        </w:tc>
      </w:tr>
      <w:tr>
        <w:trPr>
          <w:cantSplit/>
        </w:trPr>
        <w:tc>
          <w:tcPr>
            <w:tcW w:type="dxa" w:w="10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5</w:t>
            </w:r>
          </w:p>
        </w:tc>
        <w:tc>
          <w:tcPr>
            <w:tcW w:type="dxa" w:w="3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Documented estimating judgment</w:t>
            </w:r>
          </w:p>
        </w:tc>
        <w:tc>
          <w:tcPr>
            <w:tcW w:type="dxa" w:w="49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Use only when stronger evidence is unavailable; state the assumption and risk treatment.</w:t>
            </w:r>
          </w:p>
        </w:tc>
      </w:tr>
    </w:tbl>
    <w:p>
      <w:pPr>
        <w:spacing w:after="0" w:line="48" w:lineRule="auto"/>
      </w:pPr>
    </w:p>
    <w:p>
      <w:pPr>
        <w:pStyle w:val="Heading2"/>
        <w:pageBreakBefore w:val="0"/>
      </w:pPr>
      <w:r>
        <w:t>2.2 Quantity and rate narrative standard</w:t>
      </w:r>
    </w:p>
    <w:p>
      <w:pPr>
        <w:keepNext w:val="0"/>
      </w:pPr>
      <w:r>
        <w:rPr>
          <w:rFonts w:ascii="Calibri" w:hAnsi="Calibri"/>
        </w:rPr>
        <w:t>For every populated workbook row, the final narrative will state: what is being purchased or performed; the quantity and unit; how the quantity was derived from drawings, manufacturer criteria, schedule, takeoff, staffing plan, or quote; the source and date of the unit cost; any escalation or location adjustment; the indirect-cost and fee treatment; and the corresponding technical-proposal activity. If a cost element is not applicable, Micon will mark it N/A and explain why rather than deleting a major J-7 cost-element row.</w:t>
      </w:r>
    </w:p>
    <w:p>
      <w:pPr>
        <w:pStyle w:val="Heading1"/>
        <w:pageBreakBefore/>
        <w:pBdr>
          <w:bottom w:val="single" w:sz="14" w:space="4" w:color="F4B621"/>
        </w:pBdr>
      </w:pPr>
      <w:r>
        <w:t>3. CLIN 0001 - Site Assessment, Design and Design Documents</w:t>
      </w:r>
    </w:p>
    <w:p>
      <w:pPr>
        <w:keepNext w:val="0"/>
      </w:pPr>
      <w:r>
        <w:rPr>
          <w:rFonts w:ascii="Calibri" w:hAnsi="Calibri"/>
        </w:rPr>
        <w:t>CLIN 0001 captures the complete preconstruction and design effort required to validate existing conditions and issue coordinated design documents. The price must support the technical proposal's 20, 65, 95 and 100 percent design progression and the decisions needed to release construction safely.</w:t>
      </w:r>
    </w:p>
    <w:tbl>
      <w:tblPr>
        <w:tblW w:type="dxa" w:w="9360"/>
        <w:tblLayout w:type="fixed"/>
        <w:tblLook w:firstColumn="1" w:firstRow="1" w:lastColumn="0" w:lastRow="0" w:noHBand="0" w:noVBand="1" w:val="04A0"/>
        <w:tblInd w:w="120" w:type="dxa"/>
      </w:tblPr>
      <w:tblGrid>
        <w:gridCol w:w="2780"/>
        <w:gridCol w:w="2780"/>
        <w:gridCol w:w="3800"/>
      </w:tblGrid>
      <w:tr>
        <w:trPr>
          <w:cantSplit/>
          <w:tblHeader w:val="true"/>
        </w:trPr>
        <w:tc>
          <w:tcPr>
            <w:tcW w:type="dxa" w:w="27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Workbook line</w:t>
            </w:r>
          </w:p>
        </w:tc>
        <w:tc>
          <w:tcPr>
            <w:tcW w:type="dxa" w:w="27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Basis to complete</w:t>
            </w:r>
          </w:p>
        </w:tc>
        <w:tc>
          <w:tcPr>
            <w:tcW w:type="dxa" w:w="38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Final narrative prompt</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Design-build project management / coordination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Hours by role x approved labor rate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Identify personnel categories, hours by design gate, coordination meetings and rate basis.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Architectural design services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Current consultant proposal</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State confirmed firm, scope, deliverables, hours/fee basis, exclusions and quote date.</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Structural engineering / vibration analysis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Current consultant proposal</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survey, slab/dynamic review, support design and sealed-document effort.</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Mechanical and process-cooling engineering</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Current consultant proposal</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Xtend 2800 integration, piping, heat rejection, acoustics, access and controls work.</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Electrical, controls and life-safety engineering</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Current consultant proposal</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load validation, distribution, controls/data, alarm interfaces and code coordination.</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Existing-conditions survey / investigation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Takeoff, vendor quote or allowance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survey days, scanning/testing, access constraints and deliverables.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Travel, printing and design-phase ODCs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Trip count / unit cost</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State travelers, trips, destination, rate basis and non-travel ODCs.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Independent design review / constructability</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Hours by reviewer x rate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review stages, disciplines, comment closure and quality records.</w:t>
            </w:r>
          </w:p>
        </w:tc>
      </w:tr>
    </w:tbl>
    <w:p>
      <w:pPr>
        <w:spacing w:after="0" w:line="48" w:lineRule="auto"/>
      </w:pPr>
    </w:p>
    <w:p>
      <w:pPr>
        <w:pStyle w:val="Heading2"/>
        <w:pageBreakBefore w:val="0"/>
      </w:pPr>
      <w:r>
        <w:t>3.1 CLIN 0001 assumptions</w:t>
      </w:r>
    </w:p>
    <w:p>
      <w:pPr>
        <w:keepNext w:val="0"/>
      </w:pPr>
      <w:r>
        <w:rPr>
          <w:rFonts w:ascii="Calibri" w:hAnsi="Calibri"/>
        </w:rPr>
        <w:t>MICON INPUT REQUIRED: confirm design-team firms and personnel; permitted reliance on Government-furnished drawings; field-access windows; number of review meetings; permit/agency review responsibility; anticipated survey/testing methods; reimbursable-cost treatment; and whether any design contingency is included.</w:t>
      </w:r>
    </w:p>
    <w:p>
      <w:pPr>
        <w:pStyle w:val="Heading2"/>
        <w:pageBreakBefore w:val="0"/>
      </w:pPr>
      <w:r>
        <w:t>3.2 CLIN 0001 price conclusion</w:t>
      </w:r>
    </w:p>
    <w:p>
      <w:pPr>
        <w:keepNext w:val="0"/>
      </w:pPr>
      <w:r>
        <w:rPr>
          <w:rFonts w:ascii="Calibri" w:hAnsi="Calibri"/>
        </w:rPr>
        <w:t>The final CLIN 0001 firm-fixed price of [MICON INPUT REQUIRED] will equal the linked total on the Section B Prime tab. The amount will be supported by the final staffing plan, consultant proposals and design-phase direct-cost evidence included in the price-support file.</w:t>
      </w:r>
    </w:p>
    <w:p>
      <w:pPr>
        <w:pStyle w:val="Heading1"/>
        <w:pageBreakBefore/>
        <w:pBdr>
          <w:bottom w:val="single" w:sz="14" w:space="4" w:color="F4B621"/>
        </w:pBdr>
      </w:pPr>
      <w:r>
        <w:t>4. CLIN 0002 - Construction Phase</w:t>
      </w:r>
    </w:p>
    <w:p>
      <w:pPr>
        <w:keepNext w:val="0"/>
      </w:pPr>
      <w:r>
        <w:rPr>
          <w:rFonts w:ascii="Calibri" w:hAnsi="Calibri"/>
        </w:rPr>
        <w:t>CLIN 0002 captures the field execution of the coordinated design in an occupied federal production environment. It includes the management, labor, materials, equipment, specialty trades and risk controls needed to install and integrate the new press and process-cooling systems without compromising adjacent operations. The final CLIN amount will equal the linked Section B Prime total and reconcile to the schedule, takeoff, quotes, staffing, bonds, insurance and risk assumptions.</w:t>
      </w:r>
    </w:p>
    <w:tbl>
      <w:tblPr>
        <w:tblW w:type="dxa" w:w="9360"/>
        <w:tblLayout w:type="fixed"/>
        <w:tblLook w:firstColumn="1" w:firstRow="1" w:lastColumn="0" w:lastRow="0" w:noHBand="0" w:noVBand="1" w:val="04A0"/>
        <w:tblInd w:w="120" w:type="dxa"/>
      </w:tblPr>
      <w:tblGrid>
        <w:gridCol w:w="2780"/>
        <w:gridCol w:w="2780"/>
        <w:gridCol w:w="3800"/>
      </w:tblGrid>
      <w:tr>
        <w:trPr>
          <w:cantSplit/>
          <w:tblHeader w:val="true"/>
        </w:trPr>
        <w:tc>
          <w:tcPr>
            <w:tcW w:type="dxa" w:w="27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Workbook line</w:t>
            </w:r>
          </w:p>
        </w:tc>
        <w:tc>
          <w:tcPr>
            <w:tcW w:type="dxa" w:w="27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Basis to complete</w:t>
            </w:r>
          </w:p>
        </w:tc>
        <w:tc>
          <w:tcPr>
            <w:tcW w:type="dxa" w:w="38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Final narrative prompt</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Mobilization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Mobilization plan / vendor costs</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Describe setup, temporary controls, access, deliveries, protection and demobilization.</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General conditions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Time-phased staff and monthly cost</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List field staff, office, communications, cleaning and schedule months.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Insurance</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Current project allocation</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coverage, rate/source and whether included elsewhere.</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Field labor - demolition / preparation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Crew x hours x rate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crew, productivity, wage treatment, shifts and quantity basis.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Field labor - installation / integration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Crew x hours x rate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crew, productivity, work windows and installed quantities.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Electrical distribution, controls and connections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Takeoff + quotes</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quantities, vendor support, freight, lead time and installer.</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Process-cooling, piping, supports and insulation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Takeoff + quotes</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equipment interfaces, pipe quantities, valves, supports, insulation and controls.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Structural supports, vibration control and penetrations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Takeoff + specialty quote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steel/support quantities, isolation, penetrations, firestopping and tests.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Specialty trade subcontractors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Current trade proposals</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scope, price, quote date, exclusions and workbook tab.</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Inspections, testing and quality documentation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Inspection/test plan x unit cost</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hold points, inspections, records and deficiency closure.</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Performance and payment bonds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Surety quote or approved rate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rate, base, validity and inclusions.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Permits, freight, rigging and disposal</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Quotes / fee schedules / takeoff</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each ODC quantity/source, including fourth-floor rigging.</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Allowances / risk items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Documented risk estimate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State uncertainty, calculation, owner and retirement plan.</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6"/>
              </w:rPr>
              <w:t>Additional construction direct cost</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Source-supported input</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6"/>
              </w:rPr>
              <w:t>Describe the distinct cost and prevent double counting.</w:t>
            </w:r>
          </w:p>
        </w:tc>
      </w:tr>
    </w:tbl>
    <w:p>
      <w:pPr>
        <w:spacing w:after="0" w:line="48" w:lineRule="auto"/>
      </w:pPr>
    </w:p>
    <w:p>
      <w:pPr>
        <w:pStyle w:val="Heading2"/>
        <w:pageBreakBefore w:val="0"/>
      </w:pPr>
      <w:r>
        <w:t>4.1 Davis-Bacon and labor basis</w:t>
      </w:r>
    </w:p>
    <w:p>
      <w:pPr>
        <w:keepNext w:val="0"/>
      </w:pPr>
      <w:r>
        <w:rPr>
          <w:rFonts w:ascii="Calibri" w:hAnsi="Calibri"/>
        </w:rPr>
        <w:t>Micon will map covered construction labor to Attachment J-8, including the required wage and fringe. The final narrative will distinguish self-performed and subcontracted work and state shifts, overtime, escalation, payroll burden and any category not covered by the determination.</w:t>
      </w:r>
    </w:p>
    <w:p>
      <w:pPr>
        <w:pStyle w:val="Heading1"/>
        <w:pageBreakBefore/>
        <w:pBdr>
          <w:bottom w:val="single" w:sz="14" w:space="4" w:color="F4B621"/>
        </w:pBdr>
      </w:pPr>
      <w:r>
        <w:t>5. CLIN 0003 - Post-Construction Quality Validation and Closeout</w:t>
      </w:r>
    </w:p>
    <w:p>
      <w:pPr>
        <w:keepNext w:val="0"/>
      </w:pPr>
      <w:r>
        <w:rPr>
          <w:rFonts w:ascii="Calibri" w:hAnsi="Calibri"/>
        </w:rPr>
        <w:t>CLIN 0003 captures the effort to demonstrate that the installed systems perform as intended and to deliver complete, usable records to GPO. The price must be consistent with the technical proposal's testing, training, documentation, acceptance and turnover commitments.</w:t>
      </w:r>
    </w:p>
    <w:tbl>
      <w:tblPr>
        <w:tblW w:type="dxa" w:w="9360"/>
        <w:tblLayout w:type="fixed"/>
        <w:tblLook w:firstColumn="1" w:firstRow="1" w:lastColumn="0" w:lastRow="0" w:noHBand="0" w:noVBand="1" w:val="04A0"/>
        <w:tblInd w:w="120" w:type="dxa"/>
      </w:tblPr>
      <w:tblGrid>
        <w:gridCol w:w="2780"/>
        <w:gridCol w:w="2780"/>
        <w:gridCol w:w="3800"/>
      </w:tblGrid>
      <w:tr>
        <w:trPr>
          <w:cantSplit/>
          <w:tblHeader w:val="true"/>
        </w:trPr>
        <w:tc>
          <w:tcPr>
            <w:tcW w:type="dxa" w:w="27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Workbook line</w:t>
            </w:r>
          </w:p>
        </w:tc>
        <w:tc>
          <w:tcPr>
            <w:tcW w:type="dxa" w:w="27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Basis to complete</w:t>
            </w:r>
          </w:p>
        </w:tc>
        <w:tc>
          <w:tcPr>
            <w:tcW w:type="dxa" w:w="38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Final narrative prompt</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Commissioning and performance validation</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Test plan x personnel/equipment rates</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Identify systems, tests, witnesses, duration, instruments and acceptance criteria.</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Punch-list completion and field closeout</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Crew x hours x rate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expected effort, supervision and assumption for deficiency volume.</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Specialty testing / balancing / commissioning</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Current specialist quote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State firm, scope, test methods, reports, exclusions and quote date.</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As-builts, O&amp;M manuals and closeout records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Hours by role + reproduction cost</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record-drawing process, document index, formats, quantities and review cycles.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Training and turnover materials</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Sessions x staff/equipment cost</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State audiences, sessions, duration, trainers, materials and recording/handout assumptions.</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Final quality validation and acceptance support</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Hours by QC/PM x rate</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Explain final inspections, issue closure, demonstrations and acceptance support.</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Warranty / post-turnover support allowance</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Defined response plan / historical actual</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State included response period, hours, travel, exclusions and conversion to fixed obligation.</w:t>
            </w:r>
          </w:p>
        </w:tc>
      </w:tr>
      <w:tr>
        <w:trPr>
          <w:cantSplit/>
        </w:trPr>
        <w:tc>
          <w:tcPr>
            <w:tcW w:type="dxa" w:w="27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Additional closeout direct cost</w:t>
            </w:r>
          </w:p>
        </w:tc>
        <w:tc>
          <w:tcPr>
            <w:tcW w:type="dxa" w:w="278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Source-supported input</w:t>
            </w:r>
          </w:p>
        </w:tc>
        <w:tc>
          <w:tcPr>
            <w:tcW w:type="dxa" w:w="3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Use only for a distinct requirement not captured elsewhere and explain fully.</w:t>
            </w:r>
          </w:p>
        </w:tc>
      </w:tr>
    </w:tbl>
    <w:p>
      <w:pPr>
        <w:spacing w:after="0" w:line="48" w:lineRule="auto"/>
      </w:pPr>
    </w:p>
    <w:p>
      <w:pPr>
        <w:pStyle w:val="Heading2"/>
        <w:pageBreakBefore w:val="0"/>
      </w:pPr>
      <w:r>
        <w:t>5.1 CLIN 0003 price conclusion</w:t>
      </w:r>
    </w:p>
    <w:p>
      <w:pPr>
        <w:keepNext w:val="0"/>
      </w:pPr>
      <w:r>
        <w:rPr>
          <w:rFonts w:ascii="Calibri" w:hAnsi="Calibri"/>
        </w:rPr>
        <w:t>The final CLIN 0003 firm-fixed price of [MICON INPUT REQUIRED] will equal the linked total on the Section B Prime tab and will reconcile to the commissioning plan, test scripts, training plan, closeout register and acceptance milestones.</w:t>
      </w:r>
    </w:p>
    <w:p>
      <w:pPr>
        <w:pStyle w:val="Heading2"/>
        <w:pageBreakBefore w:val="0"/>
      </w:pPr>
      <w:r>
        <w:t>5.2 CLIN allocation and balance</w:t>
      </w:r>
    </w:p>
    <w:p>
      <w:pPr>
        <w:keepNext w:val="0"/>
      </w:pPr>
      <w:r>
        <w:rPr>
          <w:rFonts w:ascii="Calibri" w:hAnsi="Calibri"/>
        </w:rPr>
        <w:t>Micon will review the percentage of total price assigned to each CLIN and explain any concentration that could appear unbalanced. Mobilization and other phase-spanning costs will be allocated consistently with the work that incurs them rather than used to front-load the schedule.</w:t>
      </w:r>
    </w:p>
    <w:p>
      <w:pPr>
        <w:pStyle w:val="Heading1"/>
        <w:pageBreakBefore/>
        <w:pBdr>
          <w:bottom w:val="single" w:sz="14" w:space="4" w:color="F4B621"/>
        </w:pBdr>
      </w:pPr>
      <w:r>
        <w:t>6. Indirect Costs, Subcontractors, Bonds, Insurance and Fee</w:t>
      </w:r>
    </w:p>
    <w:p>
      <w:pPr>
        <w:pStyle w:val="Heading2"/>
        <w:pageBreakBefore w:val="0"/>
      </w:pPr>
      <w:r>
        <w:t>6.1 Overhead and G&amp;A</w:t>
      </w:r>
    </w:p>
    <w:p>
      <w:pPr>
        <w:keepNext w:val="0"/>
      </w:pPr>
      <w:r>
        <w:rPr>
          <w:rFonts w:ascii="Calibri" w:hAnsi="Calibri"/>
        </w:rPr>
        <w:t>MICON INPUT REQUIRED: identify Micon's current overhead and G&amp;A rates, allocation bases, effective periods and approving financial record. Confirm that direct and indirect cost treatment is consistent and that no item is charged both directly and through an indirect pool.</w:t>
      </w:r>
    </w:p>
    <w:p>
      <w:pPr>
        <w:pStyle w:val="Heading2"/>
        <w:pageBreakBefore w:val="0"/>
      </w:pPr>
      <w:r>
        <w:t>6.2 Subcontractor and supplier pricing</w:t>
      </w:r>
    </w:p>
    <w:p>
      <w:pPr>
        <w:keepNext w:val="0"/>
      </w:pPr>
      <w:r>
        <w:rPr>
          <w:rFonts w:ascii="Calibri" w:hAnsi="Calibri"/>
        </w:rPr>
        <w:t>The final workbook will incorporate the prime and all subcontractor cost details in one file. For each confirmed subcontractor, Micon will add a separate tab, link the subtotal to the prime budget, and provide a matching narrative subsection covering scope, price, quote date, validity, assumptions, exclusions, competition or negotiation, escalation, indirect treatment and responsibility boundaries.</w:t>
      </w:r>
    </w:p>
    <w:tbl>
      <w:tblPr>
        <w:tblW w:type="dxa" w:w="9360"/>
        <w:tblLayout w:type="fixed"/>
        <w:tblLook w:firstColumn="1" w:firstRow="1" w:lastColumn="0" w:lastRow="0" w:noHBand="0" w:noVBand="1" w:val="04A0"/>
        <w:tblInd w:w="120" w:type="dxa"/>
      </w:tblPr>
      <w:tblGrid>
        <w:gridCol w:w="1680"/>
        <w:gridCol w:w="2460"/>
        <w:gridCol w:w="2100"/>
        <w:gridCol w:w="1560"/>
        <w:gridCol w:w="1560"/>
      </w:tblGrid>
      <w:tr>
        <w:trPr>
          <w:cantSplit/>
          <w:tblHeader w:val="true"/>
        </w:trPr>
        <w:tc>
          <w:tcPr>
            <w:tcW w:type="dxa" w:w="168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Confirmed entity</w:t>
            </w:r>
          </w:p>
        </w:tc>
        <w:tc>
          <w:tcPr>
            <w:tcW w:type="dxa" w:w="24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Scope</w:t>
            </w:r>
          </w:p>
        </w:tc>
        <w:tc>
          <w:tcPr>
            <w:tcW w:type="dxa" w:w="21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Quote / basis</w:t>
            </w:r>
          </w:p>
        </w:tc>
        <w:tc>
          <w:tcPr>
            <w:tcW w:type="dxa" w:w="15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Workbook tab</w:t>
            </w:r>
          </w:p>
        </w:tc>
        <w:tc>
          <w:tcPr>
            <w:tcW w:type="dxa" w:w="15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Status</w:t>
            </w:r>
          </w:p>
        </w:tc>
      </w:tr>
      <w:tr>
        <w:trPr>
          <w:cantSplit/>
        </w:trPr>
        <w:tc>
          <w:tcPr>
            <w:tcW w:type="dxa" w:w="16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[MICON INPUT REQUIRED]</w:t>
            </w:r>
          </w:p>
        </w:tc>
        <w:tc>
          <w:tcPr>
            <w:tcW w:type="dxa" w:w="2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[MICON INPUT REQUIRED]</w:t>
            </w:r>
          </w:p>
        </w:tc>
        <w:tc>
          <w:tcPr>
            <w:tcW w:type="dxa" w:w="21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[DATE / AMOUNT / SOURCE]</w:t>
            </w:r>
          </w:p>
        </w:tc>
        <w:tc>
          <w:tcPr>
            <w:tcW w:type="dxa" w:w="1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[TAB NAME]</w:t>
            </w:r>
          </w:p>
        </w:tc>
        <w:tc>
          <w:tcPr>
            <w:tcW w:type="dxa" w:w="1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NOT CONFIRMED</w:t>
            </w:r>
          </w:p>
        </w:tc>
      </w:tr>
      <w:tr>
        <w:trPr>
          <w:cantSplit/>
        </w:trPr>
        <w:tc>
          <w:tcPr>
            <w:tcW w:type="dxa" w:w="16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[MICON INPUT REQUIRED]</w:t>
            </w:r>
          </w:p>
        </w:tc>
        <w:tc>
          <w:tcPr>
            <w:tcW w:type="dxa" w:w="2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[MICON INPUT REQUIRED]</w:t>
            </w:r>
          </w:p>
        </w:tc>
        <w:tc>
          <w:tcPr>
            <w:tcW w:type="dxa" w:w="21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[DATE / AMOUNT / SOURCE]</w:t>
            </w:r>
          </w:p>
        </w:tc>
        <w:tc>
          <w:tcPr>
            <w:tcW w:type="dxa" w:w="1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[TAB NAME]</w:t>
            </w:r>
          </w:p>
        </w:tc>
        <w:tc>
          <w:tcPr>
            <w:tcW w:type="dxa" w:w="1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NOT CONFIRMED</w:t>
            </w:r>
          </w:p>
        </w:tc>
      </w:tr>
      <w:tr>
        <w:trPr>
          <w:cantSplit/>
        </w:trPr>
        <w:tc>
          <w:tcPr>
            <w:tcW w:type="dxa" w:w="168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[MICON INPUT REQUIRED]</w:t>
            </w:r>
          </w:p>
        </w:tc>
        <w:tc>
          <w:tcPr>
            <w:tcW w:type="dxa" w:w="2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[MICON INPUT REQUIRED]</w:t>
            </w:r>
          </w:p>
        </w:tc>
        <w:tc>
          <w:tcPr>
            <w:tcW w:type="dxa" w:w="21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[DATE / AMOUNT / SOURCE]</w:t>
            </w:r>
          </w:p>
        </w:tc>
        <w:tc>
          <w:tcPr>
            <w:tcW w:type="dxa" w:w="1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[TAB NAME]</w:t>
            </w:r>
          </w:p>
        </w:tc>
        <w:tc>
          <w:tcPr>
            <w:tcW w:type="dxa" w:w="15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NOT CONFIRMED</w:t>
            </w:r>
          </w:p>
        </w:tc>
      </w:tr>
    </w:tbl>
    <w:p>
      <w:pPr>
        <w:spacing w:after="0" w:line="48" w:lineRule="auto"/>
      </w:pPr>
    </w:p>
    <w:p>
      <w:pPr>
        <w:pStyle w:val="Heading2"/>
        <w:pageBreakBefore w:val="0"/>
      </w:pPr>
      <w:r>
        <w:t>6.3 Bonds and insurance</w:t>
      </w:r>
    </w:p>
    <w:p>
      <w:pPr>
        <w:keepNext w:val="0"/>
      </w:pPr>
      <w:r>
        <w:rPr>
          <w:rFonts w:ascii="Calibri" w:hAnsi="Calibri"/>
        </w:rPr>
        <w:t>Micon will state the quoted or approved rate, calculation base, coverage, validity period and source for performance/payment bonds and project insurance. The narrative will confirm whether each amount is included as a direct line, in general conditions or in an indirect rate so the price contains no duplication.</w:t>
      </w:r>
    </w:p>
    <w:p>
      <w:pPr>
        <w:pStyle w:val="Heading2"/>
        <w:pageBreakBefore w:val="0"/>
      </w:pPr>
      <w:r>
        <w:t>6.4 Profit / fee</w:t>
      </w:r>
    </w:p>
    <w:p>
      <w:pPr>
        <w:keepNext w:val="0"/>
      </w:pPr>
      <w:r>
        <w:rPr>
          <w:rFonts w:ascii="Calibri" w:hAnsi="Calibri"/>
        </w:rPr>
        <w:t>MICON INPUT REQUIRED: state the fee rate and explain the business judgment supporting it, including firm-fixed-price risk, schedule and phasing complexity, coordination burden, specialty process systems, subcontract management, capital exposure, warranty responsibility and competitive context. Fee will be applied consistently using the workbook formula.</w:t>
      </w:r>
    </w:p>
    <w:tbl>
      <w:tblPr>
        <w:tblW w:type="dxa" w:w="9360"/>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FF1C6" w:val="clear"/>
            <w:tcBorders>
              <w:left w:val="single" w:sz="24" w:color="CA8F0D"/>
            </w:tcBorders>
          </w:tcPr>
          <w:p>
            <w:pPr>
              <w:spacing w:after="60" w:line="276" w:lineRule="auto"/>
            </w:pPr>
            <w:r>
              <w:rPr>
                <w:rFonts w:ascii="Calibri" w:hAnsi="Calibri"/>
                <w:b/>
                <w:color w:val="171B20"/>
                <w:sz w:val="18"/>
              </w:rPr>
              <w:t>NO DOUBLE COUNTING</w:t>
            </w:r>
          </w:p>
          <w:p>
            <w:pPr>
              <w:spacing w:after="0" w:line="288" w:lineRule="auto"/>
            </w:pPr>
            <w:r>
              <w:rPr>
                <w:rFonts w:ascii="Calibri" w:hAnsi="Calibri"/>
                <w:color w:val="171B20"/>
                <w:sz w:val="21"/>
              </w:rPr>
              <w:t>The estimator and finance reviewer must confirm that general conditions, project management, QA/QC, insurance, bonds, indirects, contingency/allowances and fee are each charged once and only once.</w:t>
            </w:r>
          </w:p>
        </w:tc>
      </w:tr>
    </w:tbl>
    <w:p>
      <w:pPr>
        <w:spacing w:after="0" w:line="24" w:lineRule="auto"/>
      </w:pPr>
    </w:p>
    <w:p>
      <w:pPr>
        <w:pStyle w:val="Heading1"/>
        <w:pageBreakBefore/>
        <w:pBdr>
          <w:bottom w:val="single" w:sz="14" w:space="4" w:color="F4B621"/>
        </w:pBdr>
      </w:pPr>
      <w:r>
        <w:t>7. Method 2 - Comparable Project Benchmarking</w:t>
      </w:r>
    </w:p>
    <w:p>
      <w:pPr>
        <w:keepNext w:val="0"/>
      </w:pPr>
      <w:r>
        <w:rPr>
          <w:rFonts w:ascii="Calibri" w:hAnsi="Calibri"/>
        </w:rPr>
        <w:t>Comparable-project benchmarking provides an independent check on the bottom-up estimate. It does not replace the detailed buildup. Micon will use traceable projects with relevant design-build, occupied-facility, specialized equipment/MEP, renovation, federal/security, rigging, process-cooling, schedule or location characteristics.</w:t>
      </w:r>
    </w:p>
    <w:tbl>
      <w:tblPr>
        <w:tblW w:type="dxa" w:w="9360"/>
        <w:tblLayout w:type="fixed"/>
        <w:tblLook w:firstColumn="1" w:firstRow="1" w:lastColumn="0" w:lastRow="0" w:noHBand="0" w:noVBand="1" w:val="04A0"/>
        <w:tblInd w:w="120" w:type="dxa"/>
      </w:tblPr>
      <w:tblGrid>
        <w:gridCol w:w="1900"/>
        <w:gridCol w:w="2300"/>
        <w:gridCol w:w="1400"/>
        <w:gridCol w:w="2360"/>
        <w:gridCol w:w="1400"/>
      </w:tblGrid>
      <w:tr>
        <w:trPr>
          <w:cantSplit/>
          <w:tblHeader w:val="true"/>
        </w:trPr>
        <w:tc>
          <w:tcPr>
            <w:tcW w:type="dxa" w:w="19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Comparable</w:t>
            </w:r>
          </w:p>
        </w:tc>
        <w:tc>
          <w:tcPr>
            <w:tcW w:type="dxa" w:w="23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Source / date</w:t>
            </w:r>
          </w:p>
        </w:tc>
        <w:tc>
          <w:tcPr>
            <w:tcW w:type="dxa" w:w="14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Base value</w:t>
            </w:r>
          </w:p>
        </w:tc>
        <w:tc>
          <w:tcPr>
            <w:tcW w:type="dxa" w:w="23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Normalization</w:t>
            </w:r>
          </w:p>
        </w:tc>
        <w:tc>
          <w:tcPr>
            <w:tcW w:type="dxa" w:w="14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Adjusted value</w:t>
            </w:r>
          </w:p>
        </w:tc>
      </w:tr>
      <w:tr>
        <w:trPr>
          <w:cantSplit/>
        </w:trPr>
        <w:tc>
          <w:tcPr>
            <w:tcW w:type="dxa" w:w="19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[MICON INPUT REQUIRED]</w:t>
            </w:r>
          </w:p>
        </w:tc>
        <w:tc>
          <w:tcPr>
            <w:tcW w:type="dxa" w:w="2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[URL, award record, internal actual]</w:t>
            </w:r>
          </w:p>
        </w:tc>
        <w:tc>
          <w:tcPr>
            <w:tcW w:type="dxa" w:w="14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$[INPUT]</w:t>
            </w:r>
          </w:p>
        </w:tc>
        <w:tc>
          <w:tcPr>
            <w:tcW w:type="dxa" w:w="23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Time; location; scope; complexity; size</w:t>
            </w:r>
          </w:p>
        </w:tc>
        <w:tc>
          <w:tcPr>
            <w:tcW w:type="dxa" w:w="14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$[FORMULA]</w:t>
            </w:r>
          </w:p>
        </w:tc>
      </w:tr>
      <w:tr>
        <w:trPr>
          <w:cantSplit/>
        </w:trPr>
        <w:tc>
          <w:tcPr>
            <w:tcW w:type="dxa" w:w="19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[MICON INPUT REQUIRED]</w:t>
            </w:r>
          </w:p>
        </w:tc>
        <w:tc>
          <w:tcPr>
            <w:tcW w:type="dxa" w:w="2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[URL, award record, internal actual]</w:t>
            </w:r>
          </w:p>
        </w:tc>
        <w:tc>
          <w:tcPr>
            <w:tcW w:type="dxa" w:w="14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$[INPUT]</w:t>
            </w:r>
          </w:p>
        </w:tc>
        <w:tc>
          <w:tcPr>
            <w:tcW w:type="dxa" w:w="23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Time; location; scope; complexity; size</w:t>
            </w:r>
          </w:p>
        </w:tc>
        <w:tc>
          <w:tcPr>
            <w:tcW w:type="dxa" w:w="14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$[FORMULA]</w:t>
            </w:r>
          </w:p>
        </w:tc>
      </w:tr>
      <w:tr>
        <w:trPr>
          <w:cantSplit/>
        </w:trPr>
        <w:tc>
          <w:tcPr>
            <w:tcW w:type="dxa" w:w="19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7"/>
              </w:rPr>
              <w:t>[MICON INPUT REQUIRED]</w:t>
            </w:r>
          </w:p>
        </w:tc>
        <w:tc>
          <w:tcPr>
            <w:tcW w:type="dxa" w:w="23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[URL, award record, internal actual]</w:t>
            </w:r>
          </w:p>
        </w:tc>
        <w:tc>
          <w:tcPr>
            <w:tcW w:type="dxa" w:w="14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$[INPUT]</w:t>
            </w:r>
          </w:p>
        </w:tc>
        <w:tc>
          <w:tcPr>
            <w:tcW w:type="dxa" w:w="23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Time; location; scope; complexity; size</w:t>
            </w:r>
          </w:p>
        </w:tc>
        <w:tc>
          <w:tcPr>
            <w:tcW w:type="dxa" w:w="14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7"/>
              </w:rPr>
              <w:t>$[FORMULA]</w:t>
            </w:r>
          </w:p>
        </w:tc>
      </w:tr>
    </w:tbl>
    <w:p>
      <w:pPr>
        <w:spacing w:after="0" w:line="48" w:lineRule="auto"/>
      </w:pPr>
    </w:p>
    <w:p>
      <w:pPr>
        <w:pStyle w:val="Heading2"/>
        <w:pageBreakBefore w:val="0"/>
      </w:pPr>
      <w:r>
        <w:t>7.1 Normalization method</w:t>
      </w:r>
    </w:p>
    <w:tbl>
      <w:tblPr>
        <w:tblW w:type="dxa" w:w="9360"/>
        <w:tblLayout w:type="fixed"/>
        <w:tblLook w:firstColumn="1" w:firstRow="1" w:lastColumn="0" w:lastRow="0" w:noHBand="0" w:noVBand="1" w:val="04A0"/>
        <w:tblInd w:w="120" w:type="dxa"/>
      </w:tblPr>
      <w:tblGrid>
        <w:gridCol w:w="2160"/>
        <w:gridCol w:w="7200"/>
      </w:tblGrid>
      <w:tr>
        <w:trPr>
          <w:cantSplit/>
          <w:tblHeader w:val="true"/>
        </w:trPr>
        <w:tc>
          <w:tcPr>
            <w:tcW w:type="dxa" w:w="21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Adjustment</w:t>
            </w:r>
          </w:p>
        </w:tc>
        <w:tc>
          <w:tcPr>
            <w:tcW w:type="dxa" w:w="72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Required explanation</w:t>
            </w:r>
          </w:p>
        </w:tc>
      </w:tr>
      <w:tr>
        <w:trPr>
          <w:cantSplit/>
        </w:trPr>
        <w:tc>
          <w:tcPr>
            <w:tcW w:type="dxa" w:w="216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Time</w:t>
            </w:r>
          </w:p>
        </w:tc>
        <w:tc>
          <w:tcPr>
            <w:tcW w:type="dxa" w:w="72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Identify the base-year and current index, source, dates and calculation.</w:t>
            </w:r>
          </w:p>
        </w:tc>
      </w:tr>
      <w:tr>
        <w:trPr>
          <w:cantSplit/>
        </w:trPr>
        <w:tc>
          <w:tcPr>
            <w:tcW w:type="dxa" w:w="216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Location</w:t>
            </w:r>
          </w:p>
        </w:tc>
        <w:tc>
          <w:tcPr>
            <w:tcW w:type="dxa" w:w="72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Explain labor/material market differences between the comparable location and Washington, DC.</w:t>
            </w:r>
          </w:p>
        </w:tc>
      </w:tr>
      <w:tr>
        <w:trPr>
          <w:cantSplit/>
        </w:trPr>
        <w:tc>
          <w:tcPr>
            <w:tcW w:type="dxa" w:w="216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Scope / size</w:t>
            </w:r>
          </w:p>
        </w:tc>
        <w:tc>
          <w:tcPr>
            <w:tcW w:type="dxa" w:w="72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Explain what is included or excluded and how differences in quantity or scale affect price.</w:t>
            </w:r>
          </w:p>
        </w:tc>
      </w:tr>
      <w:tr>
        <w:trPr>
          <w:cantSplit/>
        </w:trPr>
        <w:tc>
          <w:tcPr>
            <w:tcW w:type="dxa" w:w="216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Complexity / risk</w:t>
            </w:r>
          </w:p>
        </w:tc>
        <w:tc>
          <w:tcPr>
            <w:tcW w:type="dxa" w:w="72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Address occupied operations, design-build responsibility, fourth-floor rigging, process cooling, vibration, controls and schedule.</w:t>
            </w:r>
          </w:p>
        </w:tc>
      </w:tr>
      <w:tr>
        <w:trPr>
          <w:cantSplit/>
        </w:trPr>
        <w:tc>
          <w:tcPr>
            <w:tcW w:type="dxa" w:w="216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Contract terms</w:t>
            </w:r>
          </w:p>
        </w:tc>
        <w:tc>
          <w:tcPr>
            <w:tcW w:type="dxa" w:w="72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Address FFP allocation, bonds/insurance, security, closeout, warranty and owner-furnished equipment.</w:t>
            </w:r>
          </w:p>
        </w:tc>
      </w:tr>
    </w:tbl>
    <w:p>
      <w:pPr>
        <w:spacing w:after="0" w:line="48" w:lineRule="auto"/>
      </w:pPr>
    </w:p>
    <w:p>
      <w:pPr>
        <w:pStyle w:val="Heading2"/>
        <w:pageBreakBefore w:val="0"/>
      </w:pPr>
      <w:r>
        <w:t>7.2 Comparable conclusion</w:t>
      </w:r>
    </w:p>
    <w:p>
      <w:pPr>
        <w:keepNext w:val="0"/>
      </w:pPr>
      <w:r>
        <w:rPr>
          <w:rFonts w:ascii="Calibri" w:hAnsi="Calibri"/>
        </w:rPr>
        <w:t>After at least three valid records are entered, the workbook calculates the adjusted median, average, low and high. The final narrative will explain why the chosen comparable range is relevant and how the bottom-up price compares with the median and range.</w:t>
      </w:r>
    </w:p>
    <w:p>
      <w:pPr>
        <w:pStyle w:val="Heading1"/>
        <w:pageBreakBefore/>
        <w:pBdr>
          <w:bottom w:val="single" w:sz="14" w:space="4" w:color="F4B621"/>
        </w:pBdr>
      </w:pPr>
      <w:r>
        <w:t>8. Reconciliation, Assumptions and Final Approval</w:t>
      </w:r>
    </w:p>
    <w:p>
      <w:pPr>
        <w:pStyle w:val="Heading2"/>
        <w:pageBreakBefore w:val="0"/>
      </w:pPr>
      <w:r>
        <w:t>8.1 Two-method reconciliation</w:t>
      </w:r>
    </w:p>
    <w:tbl>
      <w:tblPr>
        <w:tblW w:type="dxa" w:w="9360"/>
        <w:tblLayout w:type="fixed"/>
        <w:tblLook w:firstColumn="1" w:firstRow="1" w:lastColumn="0" w:lastRow="0" w:noHBand="0" w:noVBand="1" w:val="04A0"/>
        <w:tblInd w:w="120" w:type="dxa"/>
      </w:tblPr>
      <w:tblGrid>
        <w:gridCol w:w="2500"/>
        <w:gridCol w:w="2500"/>
        <w:gridCol w:w="4360"/>
      </w:tblGrid>
      <w:tr>
        <w:trPr>
          <w:cantSplit/>
          <w:tblHeader w:val="true"/>
        </w:trPr>
        <w:tc>
          <w:tcPr>
            <w:tcW w:type="dxa" w:w="25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Measure</w:t>
            </w:r>
          </w:p>
        </w:tc>
        <w:tc>
          <w:tcPr>
            <w:tcW w:type="dxa" w:w="25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Result</w:t>
            </w:r>
          </w:p>
        </w:tc>
        <w:tc>
          <w:tcPr>
            <w:tcW w:type="dxa" w:w="43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Final explanation</w:t>
            </w:r>
          </w:p>
        </w:tc>
      </w:tr>
      <w:tr>
        <w:trPr>
          <w:cantSplit/>
        </w:trPr>
        <w:tc>
          <w:tcPr>
            <w:tcW w:type="dxa" w:w="25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Bottom-up firm-fixed price</w:t>
            </w:r>
          </w:p>
        </w:tc>
        <w:tc>
          <w:tcPr>
            <w:tcW w:type="dxa" w:w="2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$[LINKED FROM SECTION B PRIME]</w:t>
            </w:r>
          </w:p>
        </w:tc>
        <w:tc>
          <w:tcPr>
            <w:tcW w:type="dxa" w:w="43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Summarize primary cost drivers and source strength.</w:t>
            </w:r>
          </w:p>
        </w:tc>
      </w:tr>
      <w:tr>
        <w:trPr>
          <w:cantSplit/>
        </w:trPr>
        <w:tc>
          <w:tcPr>
            <w:tcW w:type="dxa" w:w="25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Comparable median</w:t>
            </w:r>
          </w:p>
        </w:tc>
        <w:tc>
          <w:tcPr>
            <w:tcW w:type="dxa" w:w="2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$[LINKED FROM COMPARABLE PRICING]</w:t>
            </w:r>
          </w:p>
        </w:tc>
        <w:tc>
          <w:tcPr>
            <w:tcW w:type="dxa" w:w="43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Summarize comparable quality and normalization.</w:t>
            </w:r>
          </w:p>
        </w:tc>
      </w:tr>
      <w:tr>
        <w:trPr>
          <w:cantSplit/>
        </w:trPr>
        <w:tc>
          <w:tcPr>
            <w:tcW w:type="dxa" w:w="25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Variance</w:t>
            </w:r>
          </w:p>
        </w:tc>
        <w:tc>
          <w:tcPr>
            <w:tcW w:type="dxa" w:w="2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[FORMULA]%</w:t>
            </w:r>
          </w:p>
        </w:tc>
        <w:tc>
          <w:tcPr>
            <w:tcW w:type="dxa" w:w="43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Explain material differences; revise inputs only when evidence supports the change.</w:t>
            </w:r>
          </w:p>
        </w:tc>
      </w:tr>
      <w:tr>
        <w:trPr>
          <w:cantSplit/>
        </w:trPr>
        <w:tc>
          <w:tcPr>
            <w:tcW w:type="dxa" w:w="25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Final price judgment</w:t>
            </w:r>
          </w:p>
        </w:tc>
        <w:tc>
          <w:tcPr>
            <w:tcW w:type="dxa" w:w="2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c>
          <w:tcPr>
            <w:tcW w:type="dxa" w:w="43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State why the price is reasonable, balanced and realistic.</w:t>
            </w:r>
          </w:p>
        </w:tc>
      </w:tr>
    </w:tbl>
    <w:p>
      <w:pPr>
        <w:spacing w:after="0" w:line="48" w:lineRule="auto"/>
      </w:pPr>
    </w:p>
    <w:p>
      <w:pPr>
        <w:pStyle w:val="Heading2"/>
        <w:pageBreakBefore w:val="0"/>
      </w:pPr>
      <w:r>
        <w:t>8.2 Principal assumptions and exclusions</w:t>
      </w:r>
    </w:p>
    <w:tbl>
      <w:tblPr>
        <w:tblW w:type="dxa" w:w="9360"/>
        <w:tblLayout w:type="fixed"/>
        <w:tblLook w:firstColumn="1" w:firstRow="1" w:lastColumn="0" w:lastRow="0" w:noHBand="0" w:noVBand="1" w:val="04A0"/>
        <w:tblInd w:w="120" w:type="dxa"/>
      </w:tblPr>
      <w:tblGrid>
        <w:gridCol w:w="3120"/>
        <w:gridCol w:w="6240"/>
      </w:tblGrid>
      <w:tr>
        <w:trPr>
          <w:cantSplit/>
          <w:tblHeader w:val="true"/>
        </w:trPr>
        <w:tc>
          <w:tcPr>
            <w:tcW w:type="dxa" w:w="312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Topic</w:t>
            </w:r>
          </w:p>
        </w:tc>
        <w:tc>
          <w:tcPr>
            <w:tcW w:type="dxa" w:w="624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Micon final statement</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Site access and work hours</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Government-furnished information / equipment</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Permits, inspections and utility outages</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Escalation and quote validity</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Owner / Canon responsibilities</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Hazardous materials and concealed conditions</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Allowances / contingency treatment</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r>
        <w:trPr>
          <w:cantSplit/>
        </w:trPr>
        <w:tc>
          <w:tcPr>
            <w:tcW w:type="dxa" w:w="312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Taxes, freight, storage and disposal</w:t>
            </w:r>
          </w:p>
        </w:tc>
        <w:tc>
          <w:tcPr>
            <w:tcW w:type="dxa" w:w="624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[MICON INPUT REQUIRED]</w:t>
            </w:r>
          </w:p>
        </w:tc>
      </w:tr>
    </w:tbl>
    <w:p>
      <w:pPr>
        <w:spacing w:after="0" w:line="48" w:lineRule="auto"/>
      </w:pPr>
    </w:p>
    <w:p>
      <w:pPr>
        <w:pStyle w:val="Heading2"/>
        <w:pageBreakBefore w:val="0"/>
      </w:pPr>
      <w:r>
        <w:t>8.3 Supporting-document index</w:t>
      </w:r>
    </w:p>
    <w:tbl>
      <w:tblPr>
        <w:tblW w:type="dxa" w:w="9360"/>
        <w:tblLayout w:type="fixed"/>
        <w:tblLook w:firstColumn="1" w:firstRow="1" w:lastColumn="0" w:lastRow="0" w:noHBand="0" w:noVBand="1" w:val="04A0"/>
        <w:tblInd w:w="120" w:type="dxa"/>
      </w:tblPr>
      <w:tblGrid>
        <w:gridCol w:w="2100"/>
        <w:gridCol w:w="5460"/>
        <w:gridCol w:w="1800"/>
      </w:tblGrid>
      <w:tr>
        <w:trPr>
          <w:cantSplit/>
          <w:tblHeader w:val="true"/>
        </w:trPr>
        <w:tc>
          <w:tcPr>
            <w:tcW w:type="dxa" w:w="21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Support file</w:t>
            </w:r>
          </w:p>
        </w:tc>
        <w:tc>
          <w:tcPr>
            <w:tcW w:type="dxa" w:w="54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Required contents</w:t>
            </w:r>
          </w:p>
        </w:tc>
        <w:tc>
          <w:tcPr>
            <w:tcW w:type="dxa" w:w="18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Status</w:t>
            </w:r>
          </w:p>
        </w:tc>
      </w:tr>
      <w:tr>
        <w:trPr>
          <w:cantSplit/>
        </w:trPr>
        <w:tc>
          <w:tcPr>
            <w:tcW w:type="dxa" w:w="21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Labor basis</w:t>
            </w:r>
          </w:p>
        </w:tc>
        <w:tc>
          <w:tcPr>
            <w:tcW w:type="dxa" w:w="5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Rates, categories, wage determination mapping, burden and escalation</w:t>
            </w:r>
          </w:p>
        </w:tc>
        <w:tc>
          <w:tcPr>
            <w:tcW w:type="dxa" w:w="1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OPEN</w:t>
            </w:r>
          </w:p>
        </w:tc>
      </w:tr>
      <w:tr>
        <w:trPr>
          <w:cantSplit/>
        </w:trPr>
        <w:tc>
          <w:tcPr>
            <w:tcW w:type="dxa" w:w="21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Design / trade quotes</w:t>
            </w:r>
          </w:p>
        </w:tc>
        <w:tc>
          <w:tcPr>
            <w:tcW w:type="dxa" w:w="5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Signed or current proposals with scope, date, validity and exclusions</w:t>
            </w:r>
          </w:p>
        </w:tc>
        <w:tc>
          <w:tcPr>
            <w:tcW w:type="dxa" w:w="1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OPEN</w:t>
            </w:r>
          </w:p>
        </w:tc>
      </w:tr>
      <w:tr>
        <w:trPr>
          <w:cantSplit/>
        </w:trPr>
        <w:tc>
          <w:tcPr>
            <w:tcW w:type="dxa" w:w="21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Material / equipment quotes</w:t>
            </w:r>
          </w:p>
        </w:tc>
        <w:tc>
          <w:tcPr>
            <w:tcW w:type="dxa" w:w="5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Vendor, item, quantity, freight, lead time and validity</w:t>
            </w:r>
          </w:p>
        </w:tc>
        <w:tc>
          <w:tcPr>
            <w:tcW w:type="dxa" w:w="1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OPEN</w:t>
            </w:r>
          </w:p>
        </w:tc>
      </w:tr>
      <w:tr>
        <w:trPr>
          <w:cantSplit/>
        </w:trPr>
        <w:tc>
          <w:tcPr>
            <w:tcW w:type="dxa" w:w="21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Bonds / insurance</w:t>
            </w:r>
          </w:p>
        </w:tc>
        <w:tc>
          <w:tcPr>
            <w:tcW w:type="dxa" w:w="5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Surety and insurance calculations or written rate support</w:t>
            </w:r>
          </w:p>
        </w:tc>
        <w:tc>
          <w:tcPr>
            <w:tcW w:type="dxa" w:w="1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OPEN</w:t>
            </w:r>
          </w:p>
        </w:tc>
      </w:tr>
      <w:tr>
        <w:trPr>
          <w:cantSplit/>
        </w:trPr>
        <w:tc>
          <w:tcPr>
            <w:tcW w:type="dxa" w:w="21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Comparable records</w:t>
            </w:r>
          </w:p>
        </w:tc>
        <w:tc>
          <w:tcPr>
            <w:tcW w:type="dxa" w:w="5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Source record plus normalization calculation and rationale</w:t>
            </w:r>
          </w:p>
        </w:tc>
        <w:tc>
          <w:tcPr>
            <w:tcW w:type="dxa" w:w="1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OPEN</w:t>
            </w:r>
          </w:p>
        </w:tc>
      </w:tr>
      <w:tr>
        <w:trPr>
          <w:cantSplit/>
        </w:trPr>
        <w:tc>
          <w:tcPr>
            <w:tcW w:type="dxa" w:w="21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Financial rates</w:t>
            </w:r>
          </w:p>
        </w:tc>
        <w:tc>
          <w:tcPr>
            <w:tcW w:type="dxa" w:w="54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Approved OH/G&amp;A bases and effective-period support</w:t>
            </w:r>
          </w:p>
        </w:tc>
        <w:tc>
          <w:tcPr>
            <w:tcW w:type="dxa" w:w="18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OPEN</w:t>
            </w:r>
          </w:p>
        </w:tc>
      </w:tr>
    </w:tbl>
    <w:p>
      <w:pPr>
        <w:spacing w:after="0" w:line="48" w:lineRule="auto"/>
      </w:pPr>
    </w:p>
    <w:p>
      <w:pPr>
        <w:pStyle w:val="Heading2"/>
        <w:pageBreakBefore w:val="0"/>
      </w:pPr>
      <w:r>
        <w:t>8.4 Final approval record</w:t>
      </w:r>
    </w:p>
    <w:tbl>
      <w:tblPr>
        <w:tblW w:type="dxa" w:w="9360"/>
        <w:tblLayout w:type="fixed"/>
        <w:tblLook w:firstColumn="1" w:firstRow="1" w:lastColumn="0" w:lastRow="0" w:noHBand="0" w:noVBand="1" w:val="04A0"/>
        <w:tblInd w:w="120" w:type="dxa"/>
      </w:tblPr>
      <w:tblGrid>
        <w:gridCol w:w="1800"/>
        <w:gridCol w:w="3900"/>
        <w:gridCol w:w="2160"/>
        <w:gridCol w:w="1500"/>
      </w:tblGrid>
      <w:tr>
        <w:trPr>
          <w:cantSplit/>
          <w:tblHeader w:val="true"/>
        </w:trPr>
        <w:tc>
          <w:tcPr>
            <w:tcW w:type="dxa" w:w="18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Reviewer</w:t>
            </w:r>
          </w:p>
        </w:tc>
        <w:tc>
          <w:tcPr>
            <w:tcW w:type="dxa" w:w="39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Required approval</w:t>
            </w:r>
          </w:p>
        </w:tc>
        <w:tc>
          <w:tcPr>
            <w:tcW w:type="dxa" w:w="216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Name / signature</w:t>
            </w:r>
          </w:p>
        </w:tc>
        <w:tc>
          <w:tcPr>
            <w:tcW w:type="dxa" w:w="1500"/>
            <w:tcMar>
              <w:top w:w="80" w:type="dxa"/>
              <w:start w:w="120" w:type="dxa"/>
              <w:bottom w:w="80" w:type="dxa"/>
              <w:end w:w="120" w:type="dxa"/>
            </w:tcMar>
            <w:vAlign w:val="center"/>
            <w:shd w:fill="242A31" w:val="clear"/>
          </w:tcPr>
          <w:p>
            <w:pPr>
              <w:spacing w:after="0" w:line="240" w:lineRule="auto"/>
              <w:jc w:val="left"/>
            </w:pPr>
            <w:r>
              <w:rPr>
                <w:rFonts w:ascii="Calibri" w:hAnsi="Calibri"/>
                <w:b/>
                <w:color w:val="FFFFFF"/>
                <w:sz w:val="17"/>
              </w:rPr>
              <w:t>Date</w:t>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Estimator</w:t>
            </w:r>
          </w:p>
        </w:tc>
        <w:tc>
          <w:tcPr>
            <w:tcW w:type="dxa" w:w="39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Quantities, sources, formulas and completeness</w:t>
            </w:r>
          </w:p>
        </w:tc>
        <w:tc>
          <w:tcPr>
            <w:tcW w:type="dxa" w:w="21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c>
          <w:tcPr>
            <w:tcW w:type="dxa" w:w="1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Finance</w:t>
            </w:r>
          </w:p>
        </w:tc>
        <w:tc>
          <w:tcPr>
            <w:tcW w:type="dxa" w:w="39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Indirect rates, accounting treatment and duplication check</w:t>
            </w:r>
          </w:p>
        </w:tc>
        <w:tc>
          <w:tcPr>
            <w:tcW w:type="dxa" w:w="21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c>
          <w:tcPr>
            <w:tcW w:type="dxa" w:w="1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Proposal Lead</w:t>
            </w:r>
          </w:p>
        </w:tc>
        <w:tc>
          <w:tcPr>
            <w:tcW w:type="dxa" w:w="39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Narrative-to-workbook and technical-price alignment</w:t>
            </w:r>
          </w:p>
        </w:tc>
        <w:tc>
          <w:tcPr>
            <w:tcW w:type="dxa" w:w="21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c>
          <w:tcPr>
            <w:tcW w:type="dxa" w:w="1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r>
      <w:tr>
        <w:trPr>
          <w:cantSplit/>
        </w:trPr>
        <w:tc>
          <w:tcPr>
            <w:tcW w:type="dxa" w:w="1800"/>
            <w:shd w:fill="F3F0E9" w:val="clear"/>
            <w:tcMar>
              <w:top w:w="80" w:type="dxa"/>
              <w:start w:w="120" w:type="dxa"/>
              <w:bottom w:w="80" w:type="dxa"/>
              <w:end w:w="120" w:type="dxa"/>
            </w:tcMar>
            <w:vAlign w:val="center"/>
          </w:tcPr>
          <w:p>
            <w:pPr>
              <w:spacing w:before="0" w:after="0" w:line="259" w:lineRule="auto"/>
              <w:jc w:val="left"/>
            </w:pPr>
            <w:r>
              <w:rPr>
                <w:rFonts w:ascii="Calibri" w:hAnsi="Calibri"/>
                <w:b/>
                <w:color w:val="171B20"/>
                <w:sz w:val="18"/>
              </w:rPr>
              <w:t>Micon Executive</w:t>
            </w:r>
          </w:p>
        </w:tc>
        <w:tc>
          <w:tcPr>
            <w:tcW w:type="dxa" w:w="39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t>Final FFP, CLIN balance, risk and submission authorization</w:t>
            </w:r>
          </w:p>
        </w:tc>
        <w:tc>
          <w:tcPr>
            <w:tcW w:type="dxa" w:w="216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c>
          <w:tcPr>
            <w:tcW w:type="dxa" w:w="1500"/>
            <w:tcMar>
              <w:top w:w="80" w:type="dxa"/>
              <w:start w:w="120" w:type="dxa"/>
              <w:bottom w:w="80" w:type="dxa"/>
              <w:end w:w="120" w:type="dxa"/>
            </w:tcMar>
            <w:vAlign w:val="center"/>
          </w:tcPr>
          <w:p>
            <w:pPr>
              <w:spacing w:before="0" w:after="0" w:line="259" w:lineRule="auto"/>
              <w:jc w:val="left"/>
            </w:pPr>
            <w:r>
              <w:rPr>
                <w:rFonts w:ascii="Calibri" w:hAnsi="Calibri"/>
                <w:b w:val="0"/>
                <w:color w:val="171B20"/>
                <w:sz w:val="18"/>
              </w:rPr>
            </w:r>
          </w:p>
        </w:tc>
      </w:tr>
    </w:tbl>
    <w:p>
      <w:pPr>
        <w:spacing w:after="0" w:line="48" w:lineRule="auto"/>
      </w:pPr>
    </w:p>
    <w:tbl>
      <w:tblPr>
        <w:tblW w:type="dxa" w:w="9360"/>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CE8E7" w:val="clear"/>
            <w:tcBorders>
              <w:left w:val="single" w:sz="24" w:color="CF3430"/>
            </w:tcBorders>
          </w:tcPr>
          <w:p>
            <w:pPr>
              <w:spacing w:after="60" w:line="276" w:lineRule="auto"/>
            </w:pPr>
            <w:r>
              <w:rPr>
                <w:rFonts w:ascii="Calibri" w:hAnsi="Calibri"/>
                <w:b/>
                <w:color w:val="CF3430"/>
                <w:sz w:val="18"/>
              </w:rPr>
              <w:t>FINAL SUBMISSION GATE</w:t>
            </w:r>
          </w:p>
          <w:p>
            <w:pPr>
              <w:spacing w:after="0" w:line="288" w:lineRule="auto"/>
            </w:pPr>
            <w:r>
              <w:rPr>
                <w:rFonts w:ascii="Calibri" w:hAnsi="Calibri"/>
                <w:color w:val="171B20"/>
                <w:sz w:val="21"/>
              </w:rPr>
              <w:t>Do not submit this narrative or the workbook until every MICON INPUT REQUIRED field has been resolved, every populated cost is sourced, all formulas and links have been checked, the two pricing methods have been reconciled, and the approval record is complete.</w:t>
            </w:r>
          </w:p>
        </w:tc>
      </w:tr>
    </w:tbl>
    <w:p>
      <w:pPr>
        <w:spacing w:after="0" w:line="24" w:lineRule="auto"/>
      </w:pP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left"/>
    </w:pPr>
    <w:r>
      <w:rPr>
        <w:rFonts w:ascii="Calibri" w:hAnsi="Calibri"/>
        <w:b/>
        <w:color w:val="CF3430"/>
        <w:sz w:val="17"/>
      </w:rPr>
      <w:t>REVIEW DRAFT - NOT FOR SUBMISSION</w:t>
    </w:r>
    <w:r>
      <w:rPr>
        <w:rFonts w:ascii="Calibri" w:hAnsi="Calibri"/>
        <w:color w:val="59616A"/>
        <w:sz w:val="17"/>
      </w:rPr>
      <w:t xml:space="preserve">   |   040ADV-26-R-0029   |   </w:t>
    </w:r>
    <w:r>
      <w:rPr>
        <w:rFonts w:ascii="Calibri" w:hAnsi="Calibri"/>
        <w:color w:val="59616A"/>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10" w:space="3" w:color="F4B621"/>
      </w:pBdr>
    </w:pPr>
    <w:r>
      <w:rPr>
        <w:rFonts w:ascii="Calibri" w:hAnsi="Calibri"/>
        <w:b/>
        <w:color w:val="171B20"/>
        <w:sz w:val="17"/>
      </w:rPr>
      <w:t>MICON CONSTRUCTIONS</w:t>
    </w:r>
    <w:r>
      <w:rPr>
        <w:rFonts w:ascii="Calibri" w:hAnsi="Calibri"/>
        <w:color w:val="59616A"/>
        <w:sz w:val="17"/>
      </w:rPr>
      <w:t xml:space="preserve">   |   GPO CANON PROSTREAM DESIGN-BUILD   |   VOLUME 6 PART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jc w:val="left"/>
      <w:outlineLvl w:val="0"/>
    </w:pPr>
    <w:rPr>
      <w:rFonts w:asciiTheme="majorHAnsi" w:eastAsiaTheme="majorEastAsia" w:hAnsiTheme="majorHAnsi" w:cstheme="majorBidi" w:ascii="Georgia" w:hAnsi="Georgia"/>
      <w:b w:val="0"/>
      <w:bCs/>
      <w:color w:val="171B20"/>
      <w:sz w:val="36"/>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jc w:val="left"/>
      <w:outlineLvl w:val="1"/>
    </w:pPr>
    <w:rPr>
      <w:rFonts w:asciiTheme="majorHAnsi" w:eastAsiaTheme="majorEastAsia" w:hAnsiTheme="majorHAnsi" w:cstheme="majorBidi" w:ascii="Calibri" w:hAnsi="Calibri"/>
      <w:b/>
      <w:bCs/>
      <w:color w:val="171B20"/>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jc w:val="left"/>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Micon GPO Cost Price Proposal Narrative - Draft</dc:title>
  <dc:subject>Solicitation 040ADV-26-R-0029, Volume 6 Part 2</dc:subject>
  <dc:creator>Micon Constructions</dc:creator>
  <cp:keywords>GPO, Canon ProStream, design-build, cost price narrative, Micon</cp:keywords>
  <dc:description>Review draft. Micon pricing inputs and approvals required before submission.</dc:description>
  <cp:lastModifiedBy/>
  <cp:revision>1</cp:revision>
  <dcterms:created xsi:type="dcterms:W3CDTF">2013-12-23T23:15:00Z</dcterms:created>
  <dcterms:modified xsi:type="dcterms:W3CDTF">2013-12-23T23:15:00Z</dcterms:modified>
  <cp:category/>
</cp:coreProperties>
</file>